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读书好  读好书  好读书</w:t>
      </w:r>
    </w:p>
    <w:p>
      <w:pPr>
        <w:jc w:val="center"/>
        <w:rPr>
          <w:b/>
          <w:sz w:val="36"/>
          <w:szCs w:val="36"/>
        </w:rPr>
      </w:pPr>
      <w:r>
        <w:rPr>
          <w:rFonts w:hint="eastAsia"/>
          <w:b/>
          <w:bCs/>
          <w:sz w:val="30"/>
          <w:szCs w:val="30"/>
        </w:rPr>
        <w:t>（201</w:t>
      </w:r>
      <w:r>
        <w:rPr>
          <w:rFonts w:hint="eastAsia"/>
          <w:b/>
          <w:bCs/>
          <w:sz w:val="30"/>
          <w:szCs w:val="30"/>
          <w:lang w:val="en-US" w:eastAsia="zh-CN"/>
        </w:rPr>
        <w:t>8</w:t>
      </w:r>
      <w:r>
        <w:rPr>
          <w:rFonts w:hint="eastAsia"/>
          <w:b/>
          <w:bCs/>
          <w:sz w:val="30"/>
          <w:szCs w:val="30"/>
        </w:rPr>
        <w:t>钱瑞华名师工作室学员读书摘记表）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99"/>
        <w:gridCol w:w="1595"/>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b/>
                <w:sz w:val="32"/>
                <w:szCs w:val="32"/>
              </w:rPr>
            </w:pPr>
            <w:r>
              <w:rPr>
                <w:rFonts w:hint="eastAsia"/>
                <w:b/>
                <w:sz w:val="32"/>
                <w:szCs w:val="32"/>
              </w:rPr>
              <w:t>书    名</w:t>
            </w:r>
          </w:p>
        </w:tc>
        <w:tc>
          <w:tcPr>
            <w:tcW w:w="2799" w:type="dxa"/>
          </w:tcPr>
          <w:p>
            <w:pPr>
              <w:jc w:val="center"/>
              <w:rPr>
                <w:rFonts w:hint="eastAsia"/>
                <w:b/>
                <w:sz w:val="24"/>
                <w:szCs w:val="24"/>
              </w:rPr>
            </w:pPr>
          </w:p>
          <w:p>
            <w:pPr>
              <w:jc w:val="center"/>
              <w:rPr>
                <w:b/>
                <w:sz w:val="32"/>
                <w:szCs w:val="32"/>
              </w:rPr>
            </w:pPr>
            <w:r>
              <w:rPr>
                <w:rFonts w:hint="eastAsia"/>
                <w:b/>
                <w:sz w:val="24"/>
                <w:szCs w:val="24"/>
              </w:rPr>
              <w:t>简明生本学习策略</w:t>
            </w:r>
          </w:p>
        </w:tc>
        <w:tc>
          <w:tcPr>
            <w:tcW w:w="1595" w:type="dxa"/>
          </w:tcPr>
          <w:p>
            <w:pPr>
              <w:jc w:val="center"/>
              <w:rPr>
                <w:b/>
                <w:sz w:val="32"/>
                <w:szCs w:val="32"/>
              </w:rPr>
            </w:pPr>
            <w:r>
              <w:rPr>
                <w:rFonts w:hint="eastAsia"/>
                <w:b/>
                <w:sz w:val="32"/>
                <w:szCs w:val="32"/>
              </w:rPr>
              <w:t>作  者</w:t>
            </w:r>
          </w:p>
        </w:tc>
        <w:tc>
          <w:tcPr>
            <w:tcW w:w="2602" w:type="dxa"/>
          </w:tcPr>
          <w:p>
            <w:pPr>
              <w:jc w:val="left"/>
              <w:rPr>
                <w:rFonts w:hint="eastAsia"/>
                <w:b/>
                <w:sz w:val="24"/>
                <w:szCs w:val="24"/>
              </w:rPr>
            </w:pPr>
            <w:r>
              <w:rPr>
                <w:rFonts w:hint="eastAsia"/>
                <w:b/>
                <w:sz w:val="24"/>
                <w:szCs w:val="24"/>
              </w:rPr>
              <w:t>乔治·M·雅各布斯、威利·A·利奈达雅</w:t>
            </w:r>
          </w:p>
          <w:p>
            <w:pPr>
              <w:jc w:val="left"/>
              <w:rPr>
                <w:b/>
                <w:sz w:val="24"/>
                <w:szCs w:val="24"/>
              </w:rPr>
            </w:pPr>
            <w:r>
              <w:rPr>
                <w:rFonts w:hint="eastAsia"/>
                <w:b/>
                <w:sz w:val="24"/>
                <w:szCs w:val="24"/>
              </w:rPr>
              <w:t>迈克尔·帕瓦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b/>
                <w:sz w:val="32"/>
                <w:szCs w:val="32"/>
              </w:rPr>
            </w:pPr>
            <w:r>
              <w:rPr>
                <w:rFonts w:hint="eastAsia"/>
                <w:b/>
                <w:sz w:val="32"/>
                <w:szCs w:val="32"/>
              </w:rPr>
              <w:t>阅读时间</w:t>
            </w:r>
          </w:p>
        </w:tc>
        <w:tc>
          <w:tcPr>
            <w:tcW w:w="2799" w:type="dxa"/>
          </w:tcPr>
          <w:p>
            <w:pPr>
              <w:jc w:val="center"/>
              <w:rPr>
                <w:rFonts w:hint="eastAsia" w:eastAsiaTheme="minorEastAsia"/>
                <w:b/>
                <w:sz w:val="32"/>
                <w:szCs w:val="32"/>
                <w:lang w:eastAsia="zh-CN"/>
              </w:rPr>
            </w:pPr>
            <w:r>
              <w:rPr>
                <w:rFonts w:hint="eastAsia"/>
                <w:b/>
                <w:sz w:val="32"/>
                <w:szCs w:val="32"/>
              </w:rPr>
              <w:t>2019.</w:t>
            </w:r>
            <w:r>
              <w:rPr>
                <w:rFonts w:hint="eastAsia"/>
                <w:b/>
                <w:sz w:val="32"/>
                <w:szCs w:val="32"/>
                <w:lang w:val="en-US" w:eastAsia="zh-CN"/>
              </w:rPr>
              <w:t>2</w:t>
            </w:r>
            <w:bookmarkStart w:id="0" w:name="_GoBack"/>
            <w:bookmarkEnd w:id="0"/>
          </w:p>
        </w:tc>
        <w:tc>
          <w:tcPr>
            <w:tcW w:w="1595" w:type="dxa"/>
          </w:tcPr>
          <w:p>
            <w:pPr>
              <w:jc w:val="center"/>
              <w:rPr>
                <w:b/>
                <w:sz w:val="32"/>
                <w:szCs w:val="32"/>
              </w:rPr>
            </w:pPr>
            <w:r>
              <w:rPr>
                <w:rFonts w:hint="eastAsia"/>
                <w:b/>
                <w:sz w:val="32"/>
                <w:szCs w:val="32"/>
              </w:rPr>
              <w:t>阅读人</w:t>
            </w:r>
          </w:p>
        </w:tc>
        <w:tc>
          <w:tcPr>
            <w:tcW w:w="2602" w:type="dxa"/>
          </w:tcPr>
          <w:p>
            <w:pPr>
              <w:jc w:val="center"/>
              <w:rPr>
                <w:b/>
                <w:sz w:val="32"/>
                <w:szCs w:val="32"/>
              </w:rPr>
            </w:pPr>
            <w:r>
              <w:rPr>
                <w:rFonts w:hint="eastAsia"/>
                <w:b/>
                <w:sz w:val="32"/>
                <w:szCs w:val="32"/>
              </w:rPr>
              <w:t>郑丽华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9" w:hRule="atLeast"/>
        </w:trPr>
        <w:tc>
          <w:tcPr>
            <w:tcW w:w="1526" w:type="dxa"/>
          </w:tcPr>
          <w:p>
            <w:pPr>
              <w:rPr>
                <w:b/>
                <w:sz w:val="32"/>
                <w:szCs w:val="32"/>
              </w:rPr>
            </w:pPr>
          </w:p>
          <w:p>
            <w:pPr>
              <w:rPr>
                <w:b/>
                <w:sz w:val="32"/>
                <w:szCs w:val="32"/>
              </w:rPr>
            </w:pPr>
          </w:p>
          <w:p>
            <w:pPr>
              <w:jc w:val="center"/>
              <w:rPr>
                <w:b/>
                <w:sz w:val="32"/>
                <w:szCs w:val="32"/>
              </w:rPr>
            </w:pPr>
            <w:r>
              <w:rPr>
                <w:rFonts w:hint="eastAsia"/>
                <w:b/>
                <w:sz w:val="32"/>
                <w:szCs w:val="32"/>
              </w:rPr>
              <w:t>作</w:t>
            </w:r>
          </w:p>
          <w:p>
            <w:pPr>
              <w:jc w:val="center"/>
              <w:rPr>
                <w:b/>
                <w:sz w:val="32"/>
                <w:szCs w:val="32"/>
              </w:rPr>
            </w:pPr>
            <w:r>
              <w:rPr>
                <w:rFonts w:hint="eastAsia"/>
                <w:b/>
                <w:sz w:val="32"/>
                <w:szCs w:val="32"/>
              </w:rPr>
              <w:t>者</w:t>
            </w:r>
          </w:p>
          <w:p>
            <w:pPr>
              <w:jc w:val="center"/>
              <w:rPr>
                <w:b/>
                <w:sz w:val="32"/>
                <w:szCs w:val="32"/>
              </w:rPr>
            </w:pPr>
            <w:r>
              <w:rPr>
                <w:rFonts w:hint="eastAsia"/>
                <w:b/>
                <w:sz w:val="32"/>
                <w:szCs w:val="32"/>
              </w:rPr>
              <w:t>简</w:t>
            </w:r>
          </w:p>
          <w:p>
            <w:pPr>
              <w:jc w:val="center"/>
              <w:rPr>
                <w:b/>
                <w:sz w:val="32"/>
                <w:szCs w:val="32"/>
              </w:rPr>
            </w:pPr>
            <w:r>
              <w:rPr>
                <w:rFonts w:hint="eastAsia"/>
                <w:b/>
                <w:sz w:val="32"/>
                <w:szCs w:val="32"/>
              </w:rPr>
              <w:t>介</w:t>
            </w:r>
          </w:p>
        </w:tc>
        <w:tc>
          <w:tcPr>
            <w:tcW w:w="6996" w:type="dxa"/>
            <w:gridSpan w:val="3"/>
          </w:tcPr>
          <w:p>
            <w:pPr>
              <w:jc w:val="left"/>
              <w:rPr>
                <w:rFonts w:hint="eastAsia"/>
                <w:sz w:val="24"/>
                <w:szCs w:val="24"/>
              </w:rPr>
            </w:pPr>
            <w:r>
              <w:rPr>
                <w:rFonts w:hint="eastAsia"/>
                <w:b/>
                <w:bCs/>
                <w:sz w:val="24"/>
                <w:szCs w:val="24"/>
              </w:rPr>
              <w:t>乔治·M．雅各布斯</w:t>
            </w:r>
            <w:r>
              <w:rPr>
                <w:rFonts w:hint="eastAsia"/>
                <w:sz w:val="24"/>
                <w:szCs w:val="24"/>
              </w:rPr>
              <w:t>(George M．Jacobs) 来自新加坡的一名教育咨询专家，主要工作是给中小学和大学提供教育咨询建议。他是一位多产的作家，合著、编写了以下书籍：《合作学习的教师参考书》(2002，戈温出版社)，《合作学习和二语教学》(2006，剑桥大学出版社)，《课堂里的合作学习》(2007，东南亚教育组织协会区域语言中心)。</w:t>
            </w:r>
          </w:p>
          <w:p>
            <w:pPr>
              <w:jc w:val="left"/>
              <w:rPr>
                <w:rFonts w:hint="eastAsia"/>
                <w:sz w:val="24"/>
                <w:szCs w:val="24"/>
              </w:rPr>
            </w:pPr>
            <w:r>
              <w:rPr>
                <w:rFonts w:hint="eastAsia"/>
                <w:b/>
                <w:bCs/>
                <w:sz w:val="24"/>
                <w:szCs w:val="24"/>
              </w:rPr>
              <w:t>威利·A·利奈达雅</w:t>
            </w:r>
            <w:r>
              <w:rPr>
                <w:rFonts w:hint="eastAsia"/>
                <w:sz w:val="24"/>
                <w:szCs w:val="24"/>
              </w:rPr>
              <w:t>(Willy A．Renandya) 语言教学硕士、教育心理学博士，新加坡国立教育学院英语教育系高级讲师。曾在东南亚教育组织协会区域语言中心从事教学工作，同时担任语言教育与研究部门主管。主要研究专长是英语作为第二语言的教学法理论。</w:t>
            </w:r>
          </w:p>
          <w:p>
            <w:pPr>
              <w:jc w:val="left"/>
              <w:rPr>
                <w:sz w:val="24"/>
                <w:szCs w:val="24"/>
              </w:rPr>
            </w:pPr>
            <w:r>
              <w:rPr>
                <w:rFonts w:hint="eastAsia"/>
                <w:b/>
                <w:bCs/>
                <w:sz w:val="24"/>
                <w:szCs w:val="24"/>
              </w:rPr>
              <w:t>迈克尔·帕瓦</w:t>
            </w:r>
            <w:r>
              <w:rPr>
                <w:rFonts w:hint="eastAsia"/>
                <w:sz w:val="24"/>
                <w:szCs w:val="24"/>
              </w:rPr>
              <w:t>(Michael Power) 夏威夷大学应用语言学硕士、夏威夷大学教育心理学博士，华盛顿州岸线学区学习与评估中心主管，塔科马住房委员会教育项目经理。曾发表多篇关于公立学校测试、评估与研究的学术论文。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1" w:hRule="atLeast"/>
        </w:trPr>
        <w:tc>
          <w:tcPr>
            <w:tcW w:w="1526" w:type="dxa"/>
            <w:vAlign w:val="center"/>
          </w:tcPr>
          <w:p>
            <w:pPr>
              <w:ind w:firstLine="482" w:firstLineChars="150"/>
              <w:rPr>
                <w:b/>
                <w:sz w:val="32"/>
                <w:szCs w:val="32"/>
              </w:rPr>
            </w:pPr>
            <w:r>
              <w:rPr>
                <w:rFonts w:hint="eastAsia"/>
                <w:b/>
                <w:sz w:val="32"/>
                <w:szCs w:val="32"/>
              </w:rPr>
              <w:t>原</w:t>
            </w:r>
          </w:p>
          <w:p>
            <w:pPr>
              <w:jc w:val="center"/>
              <w:rPr>
                <w:b/>
                <w:sz w:val="32"/>
                <w:szCs w:val="32"/>
              </w:rPr>
            </w:pPr>
            <w:r>
              <w:rPr>
                <w:rFonts w:hint="eastAsia"/>
                <w:b/>
                <w:sz w:val="32"/>
                <w:szCs w:val="32"/>
              </w:rPr>
              <w:t>作</w:t>
            </w:r>
          </w:p>
          <w:p>
            <w:pPr>
              <w:jc w:val="center"/>
              <w:rPr>
                <w:b/>
                <w:sz w:val="32"/>
                <w:szCs w:val="32"/>
              </w:rPr>
            </w:pPr>
            <w:r>
              <w:rPr>
                <w:rFonts w:hint="eastAsia"/>
                <w:b/>
                <w:sz w:val="32"/>
                <w:szCs w:val="32"/>
              </w:rPr>
              <w:t>名</w:t>
            </w:r>
          </w:p>
          <w:p>
            <w:pPr>
              <w:jc w:val="center"/>
              <w:rPr>
                <w:b/>
                <w:sz w:val="32"/>
                <w:szCs w:val="32"/>
              </w:rPr>
            </w:pPr>
            <w:r>
              <w:rPr>
                <w:rFonts w:hint="eastAsia"/>
                <w:b/>
                <w:sz w:val="32"/>
                <w:szCs w:val="32"/>
              </w:rPr>
              <w:t>句</w:t>
            </w:r>
          </w:p>
        </w:tc>
        <w:tc>
          <w:tcPr>
            <w:tcW w:w="6996" w:type="dxa"/>
            <w:gridSpan w:val="3"/>
          </w:tcPr>
          <w:p>
            <w:pPr>
              <w:rPr>
                <w:b/>
                <w:bCs w:val="0"/>
                <w:sz w:val="24"/>
                <w:szCs w:val="24"/>
              </w:rPr>
            </w:pPr>
            <w:r>
              <w:rPr>
                <w:rFonts w:hint="eastAsia"/>
                <w:b/>
                <w:bCs w:val="0"/>
                <w:sz w:val="24"/>
                <w:szCs w:val="24"/>
              </w:rPr>
              <w:t>（注明章节与页数，便于参考文献寻踪）</w:t>
            </w:r>
          </w:p>
          <w:p>
            <w:pPr>
              <w:rPr>
                <w:b w:val="0"/>
                <w:bCs/>
                <w:sz w:val="24"/>
                <w:szCs w:val="24"/>
              </w:rPr>
            </w:pPr>
            <w:r>
              <w:rPr>
                <w:rFonts w:hint="eastAsia"/>
                <w:b w:val="0"/>
                <w:bCs/>
                <w:sz w:val="24"/>
                <w:szCs w:val="24"/>
              </w:rPr>
              <w:t>1、在教育界最为深刻的改变是逐渐向生本学习模式转变 。“生本”也可以称为“学习者为中心”“儿童为中心”（导论P1）</w:t>
            </w:r>
          </w:p>
          <w:p>
            <w:pPr>
              <w:rPr>
                <w:b w:val="0"/>
                <w:bCs/>
                <w:sz w:val="24"/>
                <w:szCs w:val="24"/>
              </w:rPr>
            </w:pPr>
            <w:r>
              <w:rPr>
                <w:rFonts w:hint="eastAsia"/>
                <w:b w:val="0"/>
                <w:bCs/>
                <w:sz w:val="24"/>
                <w:szCs w:val="24"/>
              </w:rPr>
              <w:t>2、</w:t>
            </w:r>
            <w:r>
              <w:rPr>
                <w:rFonts w:hint="eastAsia"/>
                <w:b w:val="0"/>
                <w:bCs/>
                <w:sz w:val="24"/>
                <w:szCs w:val="24"/>
                <w:lang w:eastAsia="zh-CN"/>
              </w:rPr>
              <w:t>生本学习策略的十要素：师生合作、生生互动、学生自主、聚焦意义、课程整合、尊重多样、思维技能、多元评估、学习氛围、激发动机</w:t>
            </w:r>
            <w:r>
              <w:rPr>
                <w:rFonts w:hint="eastAsia"/>
                <w:b w:val="0"/>
                <w:bCs/>
                <w:sz w:val="24"/>
                <w:szCs w:val="24"/>
              </w:rPr>
              <w:t>（导论P2</w:t>
            </w:r>
            <w:r>
              <w:rPr>
                <w:rFonts w:hint="eastAsia"/>
                <w:b w:val="0"/>
                <w:bCs/>
                <w:sz w:val="24"/>
                <w:szCs w:val="24"/>
                <w:lang w:eastAsia="zh-CN"/>
              </w:rPr>
              <w:t>——</w:t>
            </w:r>
            <w:r>
              <w:rPr>
                <w:rFonts w:hint="eastAsia"/>
                <w:b w:val="0"/>
                <w:bCs/>
                <w:sz w:val="24"/>
                <w:szCs w:val="24"/>
                <w:lang w:val="en-US" w:eastAsia="zh-CN"/>
              </w:rPr>
              <w:t>P3</w:t>
            </w:r>
            <w:r>
              <w:rPr>
                <w:rFonts w:hint="eastAsia"/>
                <w:b w:val="0"/>
                <w:bCs/>
                <w:sz w:val="24"/>
                <w:szCs w:val="24"/>
              </w:rPr>
              <w:t>）</w:t>
            </w:r>
          </w:p>
          <w:p>
            <w:pPr>
              <w:rPr>
                <w:rFonts w:hint="eastAsia"/>
                <w:b w:val="0"/>
                <w:bCs/>
                <w:sz w:val="24"/>
                <w:szCs w:val="24"/>
              </w:rPr>
            </w:pPr>
            <w:r>
              <w:rPr>
                <w:rFonts w:hint="eastAsia"/>
                <w:b w:val="0"/>
                <w:bCs/>
                <w:sz w:val="24"/>
                <w:szCs w:val="24"/>
                <w:lang w:val="en-US" w:eastAsia="zh-CN"/>
              </w:rPr>
              <w:t>3</w:t>
            </w:r>
            <w:r>
              <w:rPr>
                <w:rFonts w:hint="eastAsia"/>
                <w:b w:val="0"/>
                <w:bCs/>
                <w:sz w:val="24"/>
                <w:szCs w:val="24"/>
              </w:rPr>
              <w:t>、合作学习也称为协作学习，其基本理念是致力于促使小组高效运作，培养学生的学习与社交能力，丰富学习体验。（第2章生生互动P24）</w:t>
            </w:r>
          </w:p>
          <w:p>
            <w:pPr>
              <w:rPr>
                <w:rFonts w:hint="eastAsia"/>
                <w:b w:val="0"/>
                <w:bCs/>
                <w:sz w:val="24"/>
                <w:szCs w:val="24"/>
              </w:rPr>
            </w:pPr>
            <w:r>
              <w:rPr>
                <w:rFonts w:hint="eastAsia"/>
                <w:b w:val="0"/>
                <w:bCs/>
                <w:sz w:val="24"/>
                <w:szCs w:val="24"/>
                <w:lang w:val="en-US" w:eastAsia="zh-CN"/>
              </w:rPr>
              <w:t>4</w:t>
            </w:r>
            <w:r>
              <w:rPr>
                <w:rFonts w:hint="eastAsia"/>
                <w:b w:val="0"/>
                <w:bCs/>
                <w:sz w:val="24"/>
                <w:szCs w:val="24"/>
              </w:rPr>
              <w:t>、当学生为自己和同伴的学习负责时，他们开始向终生学习者转变。（第3章学生自主P33）</w:t>
            </w:r>
          </w:p>
          <w:p>
            <w:pPr>
              <w:rPr>
                <w:rFonts w:hint="eastAsia" w:eastAsiaTheme="minorEastAsia"/>
                <w:b w:val="0"/>
                <w:bCs/>
                <w:sz w:val="24"/>
                <w:szCs w:val="24"/>
                <w:lang w:val="en-US" w:eastAsia="zh-CN"/>
              </w:rPr>
            </w:pPr>
            <w:r>
              <w:rPr>
                <w:rFonts w:hint="eastAsia"/>
                <w:b w:val="0"/>
                <w:bCs/>
                <w:sz w:val="24"/>
                <w:szCs w:val="24"/>
                <w:lang w:val="en-US" w:eastAsia="zh-CN"/>
              </w:rPr>
              <w:t>5、学生可以将自己在不同课程里学到的知识进行联系，不要将学到的知识仅仅局限于自身和教室里，而是将课堂知识和现世界相联系。（第5章课程整合p57）</w:t>
            </w:r>
          </w:p>
          <w:p>
            <w:pPr>
              <w:rPr>
                <w:rFonts w:hint="eastAsia"/>
                <w:b w:val="0"/>
                <w:bCs/>
                <w:sz w:val="24"/>
                <w:szCs w:val="24"/>
                <w:lang w:val="en-US" w:eastAsia="zh-CN"/>
              </w:rPr>
            </w:pPr>
            <w:r>
              <w:rPr>
                <w:rFonts w:hint="eastAsia"/>
                <w:b w:val="0"/>
                <w:bCs/>
                <w:sz w:val="24"/>
                <w:szCs w:val="24"/>
                <w:lang w:val="en-US" w:eastAsia="zh-CN"/>
              </w:rPr>
              <w:t>6、教师得观察他们的班级，了解他们的学生，并且思考学生的差异所在。教师得想想这些多样性如何才能帮助学生学习课程内容，学会跟自己不同的人合作并欣赏他们。（</w:t>
            </w:r>
            <w:r>
              <w:rPr>
                <w:rFonts w:hint="eastAsia"/>
                <w:b w:val="0"/>
                <w:bCs/>
                <w:sz w:val="24"/>
                <w:szCs w:val="24"/>
              </w:rPr>
              <w:t>第</w:t>
            </w:r>
            <w:r>
              <w:rPr>
                <w:rFonts w:hint="eastAsia"/>
                <w:b w:val="0"/>
                <w:bCs/>
                <w:sz w:val="24"/>
                <w:szCs w:val="24"/>
                <w:lang w:val="en-US" w:eastAsia="zh-CN"/>
              </w:rPr>
              <w:t>6</w:t>
            </w:r>
            <w:r>
              <w:rPr>
                <w:rFonts w:hint="eastAsia"/>
                <w:b w:val="0"/>
                <w:bCs/>
                <w:sz w:val="24"/>
                <w:szCs w:val="24"/>
              </w:rPr>
              <w:t>章</w:t>
            </w:r>
            <w:r>
              <w:rPr>
                <w:rFonts w:hint="eastAsia"/>
                <w:b w:val="0"/>
                <w:bCs/>
                <w:sz w:val="24"/>
                <w:szCs w:val="24"/>
                <w:lang w:eastAsia="zh-CN"/>
              </w:rPr>
              <w:t>尊重多样</w:t>
            </w:r>
            <w:r>
              <w:rPr>
                <w:rFonts w:hint="eastAsia"/>
                <w:b w:val="0"/>
                <w:bCs/>
                <w:sz w:val="24"/>
                <w:szCs w:val="24"/>
              </w:rPr>
              <w:t>P</w:t>
            </w:r>
            <w:r>
              <w:rPr>
                <w:rFonts w:hint="eastAsia"/>
                <w:b w:val="0"/>
                <w:bCs/>
                <w:sz w:val="24"/>
                <w:szCs w:val="24"/>
                <w:lang w:val="en-US" w:eastAsia="zh-CN"/>
              </w:rPr>
              <w:t>70）</w:t>
            </w:r>
          </w:p>
          <w:p>
            <w:pPr>
              <w:rPr>
                <w:b/>
                <w:sz w:val="32"/>
                <w:szCs w:val="32"/>
              </w:rPr>
            </w:pPr>
            <w:r>
              <w:rPr>
                <w:rFonts w:hint="eastAsia"/>
                <w:b w:val="0"/>
                <w:bCs/>
                <w:sz w:val="24"/>
                <w:szCs w:val="24"/>
                <w:lang w:val="en-US" w:eastAsia="zh-CN"/>
              </w:rPr>
              <w:t>7、思维技能就像其他技能一样，在各个学科中都需要被明确地教授并练习，以便学生能在他们的学习中加以运用。（第9章思维技能p79）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1526" w:type="dxa"/>
            <w:vAlign w:val="center"/>
          </w:tcPr>
          <w:p>
            <w:pPr>
              <w:jc w:val="center"/>
              <w:rPr>
                <w:b/>
                <w:sz w:val="32"/>
                <w:szCs w:val="32"/>
              </w:rPr>
            </w:pPr>
            <w:r>
              <w:rPr>
                <w:rFonts w:hint="eastAsia"/>
                <w:b/>
                <w:sz w:val="32"/>
                <w:szCs w:val="32"/>
              </w:rPr>
              <w:t>我</w:t>
            </w:r>
          </w:p>
          <w:p>
            <w:pPr>
              <w:jc w:val="center"/>
              <w:rPr>
                <w:b/>
                <w:sz w:val="32"/>
                <w:szCs w:val="32"/>
              </w:rPr>
            </w:pPr>
            <w:r>
              <w:rPr>
                <w:rFonts w:hint="eastAsia"/>
                <w:b/>
                <w:sz w:val="32"/>
                <w:szCs w:val="32"/>
              </w:rPr>
              <w:t>的</w:t>
            </w:r>
          </w:p>
          <w:p>
            <w:pPr>
              <w:jc w:val="center"/>
              <w:rPr>
                <w:b/>
                <w:sz w:val="32"/>
                <w:szCs w:val="32"/>
              </w:rPr>
            </w:pPr>
            <w:r>
              <w:rPr>
                <w:rFonts w:hint="eastAsia"/>
                <w:b/>
                <w:sz w:val="32"/>
                <w:szCs w:val="32"/>
              </w:rPr>
              <w:t>见</w:t>
            </w:r>
          </w:p>
          <w:p>
            <w:pPr>
              <w:jc w:val="center"/>
              <w:rPr>
                <w:b/>
                <w:sz w:val="32"/>
                <w:szCs w:val="32"/>
              </w:rPr>
            </w:pPr>
            <w:r>
              <w:rPr>
                <w:rFonts w:hint="eastAsia"/>
                <w:b/>
                <w:sz w:val="32"/>
                <w:szCs w:val="32"/>
              </w:rPr>
              <w:t>解</w:t>
            </w:r>
          </w:p>
        </w:tc>
        <w:tc>
          <w:tcPr>
            <w:tcW w:w="6996" w:type="dxa"/>
            <w:gridSpan w:val="3"/>
          </w:tcPr>
          <w:p>
            <w:pPr>
              <w:spacing w:line="220" w:lineRule="atLeast"/>
              <w:ind w:firstLine="480" w:firstLineChars="200"/>
              <w:rPr>
                <w:sz w:val="24"/>
                <w:szCs w:val="24"/>
              </w:rPr>
            </w:pPr>
            <w:r>
              <w:rPr>
                <w:rFonts w:hint="eastAsia"/>
                <w:sz w:val="24"/>
                <w:szCs w:val="24"/>
              </w:rPr>
              <w:t>新课程带来了教育理念的新变化，产生了新的学习方式。小组合作学习法成了新课程课堂教学中应用的最多的一种学习方式，小组合作学习就是通过生生互动、师生互动，达到人人参与课堂学习，从而提高课堂教学的有效性。</w:t>
            </w:r>
            <w:r>
              <w:rPr>
                <w:rFonts w:hint="eastAsia"/>
                <w:sz w:val="24"/>
                <w:szCs w:val="24"/>
                <w:lang w:eastAsia="zh-CN"/>
              </w:rPr>
              <w:t>在平时的常态教学中</w:t>
            </w:r>
            <w:r>
              <w:rPr>
                <w:rFonts w:hint="eastAsia"/>
                <w:sz w:val="24"/>
                <w:szCs w:val="24"/>
              </w:rPr>
              <w:t>，我</w:t>
            </w:r>
            <w:r>
              <w:rPr>
                <w:rFonts w:hint="eastAsia"/>
                <w:sz w:val="24"/>
                <w:szCs w:val="24"/>
                <w:lang w:eastAsia="zh-CN"/>
              </w:rPr>
              <w:t>也会开展</w:t>
            </w:r>
            <w:r>
              <w:rPr>
                <w:rFonts w:hint="eastAsia"/>
                <w:sz w:val="24"/>
                <w:szCs w:val="24"/>
              </w:rPr>
              <w:t>合作学习，但基本是浅层次的，并没有深入研究实践过，最近学习了《简明生本学习策略》一书，对于</w:t>
            </w:r>
            <w:r>
              <w:rPr>
                <w:rFonts w:hint="eastAsia"/>
                <w:sz w:val="24"/>
                <w:szCs w:val="24"/>
                <w:lang w:eastAsia="zh-CN"/>
              </w:rPr>
              <w:t>生生互动章节中的</w:t>
            </w:r>
            <w:r>
              <w:rPr>
                <w:rFonts w:hint="eastAsia"/>
                <w:sz w:val="24"/>
                <w:szCs w:val="24"/>
              </w:rPr>
              <w:t>合作学习有</w:t>
            </w:r>
            <w:r>
              <w:rPr>
                <w:rFonts w:hint="eastAsia"/>
                <w:sz w:val="24"/>
                <w:szCs w:val="24"/>
                <w:lang w:eastAsia="zh-CN"/>
              </w:rPr>
              <w:t>了</w:t>
            </w:r>
            <w:r>
              <w:rPr>
                <w:rFonts w:hint="eastAsia"/>
                <w:sz w:val="24"/>
                <w:szCs w:val="24"/>
              </w:rPr>
              <w:t>更深的认识，也学习到不少让合作学习更有效的方法。</w:t>
            </w:r>
          </w:p>
          <w:p>
            <w:pPr>
              <w:spacing w:line="220" w:lineRule="atLeast"/>
              <w:ind w:firstLine="480" w:firstLineChars="200"/>
              <w:rPr>
                <w:sz w:val="24"/>
                <w:szCs w:val="24"/>
              </w:rPr>
            </w:pPr>
            <w:r>
              <w:rPr>
                <w:rFonts w:hint="eastAsia"/>
                <w:sz w:val="24"/>
                <w:szCs w:val="24"/>
              </w:rPr>
              <w:t>一、合理组建合作学习小组</w:t>
            </w:r>
          </w:p>
          <w:p>
            <w:pPr>
              <w:spacing w:line="220" w:lineRule="atLeast"/>
              <w:ind w:firstLine="480" w:firstLineChars="200"/>
              <w:rPr>
                <w:sz w:val="24"/>
                <w:szCs w:val="24"/>
              </w:rPr>
            </w:pPr>
            <w:r>
              <w:rPr>
                <w:rFonts w:hint="eastAsia"/>
                <w:sz w:val="24"/>
                <w:szCs w:val="24"/>
              </w:rPr>
              <w:t>合作学习小组是学生合作学习成败的关键因素之一。遵循“组内异质、组间同质”的原则，我把学生分成若干小组，每个小组4人，组长一名，负责组织工作；副组长一名，负责协调、记录工作。组长为1号，副组长为2号，两名组员依次为3号、4号。这样做既可以保证小组学习有序有效进行，又能为全班交流展示提供便利。教师可以就同一个问题请不同小组的同一号学生发言。这样做利于不同小组之间的公平竞争，促进共同发展。</w:t>
            </w:r>
          </w:p>
          <w:p>
            <w:pPr>
              <w:spacing w:line="220" w:lineRule="atLeast"/>
              <w:ind w:firstLine="480" w:firstLineChars="200"/>
              <w:rPr>
                <w:sz w:val="24"/>
                <w:szCs w:val="24"/>
              </w:rPr>
            </w:pPr>
            <w:r>
              <w:rPr>
                <w:rFonts w:hint="eastAsia"/>
                <w:sz w:val="24"/>
                <w:szCs w:val="24"/>
              </w:rPr>
              <w:t>二、精心选择合作学习内容</w:t>
            </w:r>
          </w:p>
          <w:p>
            <w:pPr>
              <w:spacing w:line="220" w:lineRule="atLeast"/>
              <w:ind w:firstLine="480" w:firstLineChars="200"/>
              <w:rPr>
                <w:sz w:val="24"/>
                <w:szCs w:val="24"/>
              </w:rPr>
            </w:pPr>
            <w:r>
              <w:rPr>
                <w:rFonts w:hint="eastAsia"/>
                <w:sz w:val="24"/>
                <w:szCs w:val="24"/>
              </w:rPr>
              <w:t>为了让合作学习的内容更具讨论价值，教师要深入研究教材，精心安排设计合作讨论的问题，只有适当的、有价值的合作学习内容才能激发学生讨论的积极性和提高学习内容的有效性。教师必须在课前有充分的准备。没有备课时的全面考虑和设计，就没有课堂上的有效互动；没有上课前的充分准备，就没有课堂互动的驾驭自如。因此，课前应对教学内容、重点、难点、课程标准要有准确的把握，确定教学中突出重点、突破难点，结合学生的实际情况精心选择合作学习的内容。</w:t>
            </w:r>
          </w:p>
          <w:p>
            <w:pPr>
              <w:spacing w:line="220" w:lineRule="atLeast"/>
              <w:ind w:firstLine="480" w:firstLineChars="200"/>
              <w:rPr>
                <w:sz w:val="24"/>
                <w:szCs w:val="24"/>
              </w:rPr>
            </w:pPr>
            <w:r>
              <w:rPr>
                <w:rFonts w:hint="eastAsia"/>
                <w:sz w:val="24"/>
                <w:szCs w:val="24"/>
              </w:rPr>
              <w:t>三、及时调控合作学习过程</w:t>
            </w:r>
          </w:p>
          <w:p>
            <w:pPr>
              <w:spacing w:line="220" w:lineRule="atLeast"/>
              <w:ind w:firstLine="480" w:firstLineChars="200"/>
              <w:rPr>
                <w:sz w:val="24"/>
                <w:szCs w:val="24"/>
              </w:rPr>
            </w:pPr>
            <w:r>
              <w:rPr>
                <w:rFonts w:hint="eastAsia"/>
                <w:sz w:val="24"/>
                <w:szCs w:val="24"/>
              </w:rPr>
              <w:t>在合作学习的过程中，教师充当着“调控者”和“指导者”的角色，传授学生合作和沟通的技巧（如：礼貌地表达不同意见、询问小组成员是否理解、夸奖和感谢他人等），看到合作冷场要采取灵活有效的措施激活学生的思维，鼓励学生的大胆表达。小组交流完毕后，副组长要及时对小组成员的发言进行整理，对小组内解决不了的问题予以总结，并交给组长，准备在全班学习时进行交流。做到环环相扣，层层把关，就保证合作学习的实效性。</w:t>
            </w:r>
          </w:p>
          <w:p>
            <w:pPr>
              <w:spacing w:line="220" w:lineRule="atLeast"/>
              <w:ind w:firstLine="480" w:firstLineChars="200"/>
              <w:rPr>
                <w:sz w:val="24"/>
                <w:szCs w:val="24"/>
              </w:rPr>
            </w:pPr>
            <w:r>
              <w:rPr>
                <w:rFonts w:hint="eastAsia"/>
                <w:sz w:val="24"/>
                <w:szCs w:val="24"/>
              </w:rPr>
              <w:t>四、建立合理的评价机制</w:t>
            </w:r>
          </w:p>
          <w:p>
            <w:pPr>
              <w:spacing w:line="220" w:lineRule="atLeast"/>
              <w:rPr>
                <w:sz w:val="24"/>
                <w:szCs w:val="24"/>
              </w:rPr>
            </w:pPr>
            <w:r>
              <w:rPr>
                <w:rFonts w:hint="eastAsia"/>
                <w:sz w:val="24"/>
                <w:szCs w:val="24"/>
              </w:rPr>
              <w:t>　  当合作学习活动结束时，应对学生的合作学习进行评价。评价的形式多样，可进行自我评价、同伴评价、组组评价等，使学生认识到合作学习的价值和意义，不单单是为了解决问题，更重要的是关注合作学习的过程。表现好的小组可以积分换取小礼物，享受合作成功的快乐。</w:t>
            </w:r>
          </w:p>
          <w:p>
            <w:pPr>
              <w:spacing w:line="220" w:lineRule="atLeast"/>
            </w:pPr>
            <w:r>
              <w:rPr>
                <w:rFonts w:hint="eastAsia"/>
                <w:sz w:val="24"/>
                <w:szCs w:val="24"/>
              </w:rPr>
              <w:t>　　学生在小组合作学习的过程中不仅在学习知识，也学会了团对合作，学会了自我表现，他们自信心得到提高，社交能力得到提高，“合作学习”让孩子们感受到学习的快乐，生活的精彩！</w:t>
            </w:r>
          </w:p>
        </w:tc>
      </w:tr>
    </w:tbl>
    <w:p>
      <w:pPr>
        <w:rPr>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69E9"/>
    <w:rsid w:val="000B4429"/>
    <w:rsid w:val="00154F06"/>
    <w:rsid w:val="001A505A"/>
    <w:rsid w:val="001A7E47"/>
    <w:rsid w:val="001B0C64"/>
    <w:rsid w:val="00262083"/>
    <w:rsid w:val="002B5388"/>
    <w:rsid w:val="002D3023"/>
    <w:rsid w:val="00386B82"/>
    <w:rsid w:val="003D3402"/>
    <w:rsid w:val="004052D4"/>
    <w:rsid w:val="004102D0"/>
    <w:rsid w:val="00500B36"/>
    <w:rsid w:val="005146AA"/>
    <w:rsid w:val="00572B8A"/>
    <w:rsid w:val="006901D2"/>
    <w:rsid w:val="006F27FB"/>
    <w:rsid w:val="006F2C43"/>
    <w:rsid w:val="00772C29"/>
    <w:rsid w:val="00776C9E"/>
    <w:rsid w:val="007F7AA9"/>
    <w:rsid w:val="0081579E"/>
    <w:rsid w:val="00820F62"/>
    <w:rsid w:val="00822D57"/>
    <w:rsid w:val="008A232F"/>
    <w:rsid w:val="008B0E53"/>
    <w:rsid w:val="008E584D"/>
    <w:rsid w:val="00905F8D"/>
    <w:rsid w:val="00A33C64"/>
    <w:rsid w:val="00B43D10"/>
    <w:rsid w:val="00B50191"/>
    <w:rsid w:val="00BD326C"/>
    <w:rsid w:val="00C36284"/>
    <w:rsid w:val="00CF3E5D"/>
    <w:rsid w:val="00DB75FA"/>
    <w:rsid w:val="00E43CDF"/>
    <w:rsid w:val="00F25910"/>
    <w:rsid w:val="00FB69E9"/>
    <w:rsid w:val="0A4A5624"/>
    <w:rsid w:val="30CF032F"/>
    <w:rsid w:val="3A44126C"/>
    <w:rsid w:val="4093494D"/>
    <w:rsid w:val="4C9246AB"/>
    <w:rsid w:val="58CC0DF1"/>
    <w:rsid w:val="6A2744EA"/>
    <w:rsid w:val="6DBF36DF"/>
    <w:rsid w:val="72E32FE4"/>
    <w:rsid w:val="75C46ECC"/>
    <w:rsid w:val="7BD8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kern w:val="2"/>
      <w:sz w:val="18"/>
      <w:szCs w:val="18"/>
    </w:rPr>
  </w:style>
  <w:style w:type="character" w:customStyle="1" w:styleId="8">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300</Words>
  <Characters>1713</Characters>
  <Lines>14</Lines>
  <Paragraphs>4</Paragraphs>
  <TotalTime>184</TotalTime>
  <ScaleCrop>false</ScaleCrop>
  <LinksUpToDate>false</LinksUpToDate>
  <CharactersWithSpaces>2009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2015-06-25T15:03:00Z</dcterms:created>
  <dc:creator>chenxm</dc:creator>
  <cp:lastModifiedBy>Administrator</cp:lastModifiedBy>
  <dcterms:modified xsi:type="dcterms:W3CDTF">2019-02-13T15:08:35Z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